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1D7" w:rsidRPr="00094E9A" w:rsidRDefault="009D41D7" w:rsidP="009D41D7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094E9A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</w:t>
      </w:r>
      <w:r w:rsidRPr="00094E9A">
        <w:rPr>
          <w:rFonts w:eastAsia="Arial Unicode MS"/>
          <w:color w:val="auto"/>
          <w:lang w:val="es-ES"/>
        </w:rPr>
        <w:t>EJECUTIVO</w:t>
      </w:r>
      <w:r w:rsidRPr="00094E9A">
        <w:rPr>
          <w:rFonts w:eastAsia="Arial Unicode MS"/>
          <w:color w:val="auto"/>
          <w:lang w:val="es-ES"/>
        </w:rPr>
        <w:t xml:space="preserve"> BAJO EL N° 202</w:t>
      </w:r>
      <w:r w:rsidRPr="00094E9A">
        <w:rPr>
          <w:rFonts w:eastAsia="Arial Unicode MS"/>
          <w:color w:val="auto"/>
          <w:lang w:val="es-ES"/>
        </w:rPr>
        <w:t>1</w:t>
      </w:r>
      <w:r w:rsidRPr="00094E9A">
        <w:rPr>
          <w:rFonts w:eastAsia="Arial Unicode MS"/>
          <w:color w:val="auto"/>
          <w:lang w:val="es-ES"/>
        </w:rPr>
        <w:t>-01</w:t>
      </w:r>
      <w:r w:rsidRPr="00094E9A">
        <w:rPr>
          <w:rFonts w:eastAsia="Arial Unicode MS"/>
          <w:color w:val="auto"/>
          <w:lang w:val="es-ES"/>
        </w:rPr>
        <w:t>3</w:t>
      </w:r>
      <w:r w:rsidRPr="00094E9A">
        <w:rPr>
          <w:rFonts w:eastAsia="Arial Unicode MS"/>
          <w:color w:val="auto"/>
          <w:lang w:val="es-ES"/>
        </w:rPr>
        <w:t xml:space="preserve"> SÍRVASE PROVEER.</w:t>
      </w:r>
    </w:p>
    <w:p w:rsidR="009D41D7" w:rsidRPr="00094E9A" w:rsidRDefault="009D41D7" w:rsidP="009D41D7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9D41D7" w:rsidRPr="00094E9A" w:rsidRDefault="009D41D7" w:rsidP="009D41D7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094E9A">
        <w:rPr>
          <w:rFonts w:eastAsia="Arial Unicode MS"/>
          <w:color w:val="auto"/>
          <w:lang w:val="es-ES"/>
        </w:rPr>
        <w:t>MARCELA MORENO ALDANA</w:t>
      </w:r>
    </w:p>
    <w:p w:rsidR="009D41D7" w:rsidRPr="00094E9A" w:rsidRDefault="009D41D7" w:rsidP="009D41D7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094E9A">
        <w:rPr>
          <w:rFonts w:eastAsia="Arial Unicode MS"/>
          <w:color w:val="auto"/>
          <w:lang w:val="es-ES"/>
        </w:rPr>
        <w:t>SECRETARIA</w:t>
      </w:r>
    </w:p>
    <w:p w:rsidR="009D41D7" w:rsidRPr="00094E9A" w:rsidRDefault="009D41D7" w:rsidP="009D41D7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9D41D7" w:rsidRPr="00094E9A" w:rsidRDefault="009D41D7" w:rsidP="009D41D7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9D41D7" w:rsidRPr="00094E9A" w:rsidRDefault="009D41D7" w:rsidP="009D41D7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094E9A">
        <w:rPr>
          <w:rFonts w:eastAsia="Arial Unicode MS"/>
          <w:b/>
          <w:bCs/>
          <w:color w:val="auto"/>
          <w:lang w:val="es-MX"/>
        </w:rPr>
        <w:t>REPÚBLICA DE COLOMBIA</w:t>
      </w:r>
    </w:p>
    <w:p w:rsidR="009D41D7" w:rsidRPr="00094E9A" w:rsidRDefault="009D41D7" w:rsidP="009D41D7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094E9A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9D41D7" w:rsidRPr="00094E9A" w:rsidRDefault="009D41D7" w:rsidP="009D41D7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094E9A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1697C67B" wp14:editId="57A61C72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D41D7" w:rsidRPr="00094E9A" w:rsidRDefault="009D41D7" w:rsidP="009D41D7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9D41D7" w:rsidRPr="00094E9A" w:rsidRDefault="009D41D7" w:rsidP="009D41D7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9D41D7" w:rsidRPr="00094E9A" w:rsidRDefault="009D41D7" w:rsidP="009D41D7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9D41D7" w:rsidRPr="00094E9A" w:rsidRDefault="009D41D7" w:rsidP="009D41D7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094E9A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094E9A">
        <w:rPr>
          <w:rFonts w:eastAsia="Arial Unicode MS"/>
          <w:b/>
          <w:color w:val="auto"/>
          <w:lang w:val="es-MX"/>
        </w:rPr>
        <w:t xml:space="preserve"> SAMACÁ</w:t>
      </w:r>
    </w:p>
    <w:p w:rsidR="009D41D7" w:rsidRPr="00094E9A" w:rsidRDefault="009D41D7" w:rsidP="009D41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9D41D7" w:rsidRPr="00094E9A" w:rsidRDefault="009D41D7" w:rsidP="009D41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9D41D7" w:rsidRPr="00094E9A" w:rsidTr="00C45B19">
        <w:trPr>
          <w:trHeight w:val="646"/>
        </w:trPr>
        <w:tc>
          <w:tcPr>
            <w:tcW w:w="8373" w:type="dxa"/>
          </w:tcPr>
          <w:p w:rsidR="009D41D7" w:rsidRPr="00094E9A" w:rsidRDefault="009D41D7" w:rsidP="00C45B19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094E9A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 w:rsidRPr="00094E9A">
              <w:rPr>
                <w:rFonts w:eastAsia="Arial Unicode MS"/>
                <w:b/>
                <w:color w:val="auto"/>
                <w:lang w:val="es-MX"/>
              </w:rPr>
              <w:t>EJECUTIVO</w:t>
            </w:r>
          </w:p>
          <w:p w:rsidR="009D41D7" w:rsidRPr="00094E9A" w:rsidRDefault="009D41D7" w:rsidP="009D41D7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094E9A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 w:rsidRPr="00094E9A">
              <w:rPr>
                <w:rFonts w:eastAsia="Arial Unicode MS"/>
                <w:b/>
                <w:color w:val="auto"/>
                <w:lang w:val="es-ES"/>
              </w:rPr>
              <w:t>2021- 013</w:t>
            </w:r>
          </w:p>
        </w:tc>
      </w:tr>
    </w:tbl>
    <w:p w:rsidR="009D41D7" w:rsidRPr="00094E9A" w:rsidRDefault="009D41D7" w:rsidP="009D41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9D41D7" w:rsidRPr="00094E9A" w:rsidRDefault="009D41D7" w:rsidP="009D41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9D41D7" w:rsidRPr="00094E9A" w:rsidRDefault="009D41D7" w:rsidP="009D41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094E9A">
        <w:rPr>
          <w:rFonts w:eastAsia="Arial Unicode MS"/>
          <w:color w:val="auto"/>
          <w:lang w:val="es-ES"/>
        </w:rPr>
        <w:t>Samacá, nueve (09) de marzo de dos mil veintitrés (2023)</w:t>
      </w:r>
    </w:p>
    <w:p w:rsidR="009D41D7" w:rsidRPr="00094E9A" w:rsidRDefault="009D41D7" w:rsidP="009D41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9D41D7" w:rsidRPr="00094E9A" w:rsidRDefault="009D41D7" w:rsidP="009D41D7">
      <w:pPr>
        <w:spacing w:after="5" w:line="360" w:lineRule="auto"/>
        <w:ind w:left="-5" w:right="46" w:hanging="10"/>
        <w:jc w:val="both"/>
        <w:rPr>
          <w:lang w:val="es-ES"/>
        </w:rPr>
      </w:pPr>
      <w:r w:rsidRPr="00094E9A">
        <w:rPr>
          <w:rFonts w:eastAsia="Arial"/>
          <w:lang w:val="es-ES"/>
        </w:rPr>
        <w:t xml:space="preserve">Teniendo en cuenta la solicitud elevada por el apoderado de la parte actora, procede el despacho a resolver la solicitud de terminación del proceso presentada, previa las siguientes consideraciones: </w:t>
      </w:r>
    </w:p>
    <w:p w:rsidR="009D41D7" w:rsidRPr="00094E9A" w:rsidRDefault="009D41D7" w:rsidP="009D41D7">
      <w:pPr>
        <w:spacing w:line="360" w:lineRule="auto"/>
        <w:rPr>
          <w:lang w:val="es-ES"/>
        </w:rPr>
      </w:pPr>
      <w:r w:rsidRPr="00094E9A">
        <w:rPr>
          <w:rFonts w:eastAsia="Arial"/>
          <w:lang w:val="es-ES"/>
        </w:rPr>
        <w:t xml:space="preserve"> </w:t>
      </w:r>
    </w:p>
    <w:p w:rsidR="009D41D7" w:rsidRPr="00094E9A" w:rsidRDefault="009D41D7" w:rsidP="009D41D7">
      <w:pPr>
        <w:spacing w:line="360" w:lineRule="auto"/>
        <w:ind w:right="57"/>
        <w:jc w:val="both"/>
        <w:rPr>
          <w:lang w:val="es-ES"/>
        </w:rPr>
      </w:pPr>
      <w:r w:rsidRPr="00094E9A">
        <w:rPr>
          <w:rFonts w:eastAsia="Arial"/>
          <w:i/>
          <w:lang w:val="es-ES"/>
        </w:rPr>
        <w:t>El inciso primero del Artículo 461 del CGP, señala:</w:t>
      </w:r>
      <w:r w:rsidRPr="00094E9A">
        <w:rPr>
          <w:rFonts w:eastAsia="Arial"/>
          <w:b/>
          <w:i/>
          <w:lang w:val="es-ES"/>
        </w:rPr>
        <w:t xml:space="preserve"> “Terminación del proceso por pago. </w:t>
      </w:r>
      <w:r w:rsidRPr="00094E9A">
        <w:rPr>
          <w:rFonts w:eastAsia="Arial"/>
          <w:i/>
          <w:lang w:val="es-ES"/>
        </w:rPr>
        <w:t xml:space="preserve">Si antes de iniciada la audiencia de remate, se presentare escrito proveniente </w:t>
      </w:r>
      <w:r w:rsidRPr="00094E9A">
        <w:rPr>
          <w:rFonts w:eastAsia="Arial"/>
          <w:b/>
          <w:i/>
          <w:u w:val="single" w:color="000000"/>
          <w:lang w:val="es-ES"/>
        </w:rPr>
        <w:t>del ejecutante o de su apoderado con facultad para recibir,</w:t>
      </w:r>
      <w:r w:rsidRPr="00094E9A">
        <w:rPr>
          <w:rFonts w:eastAsia="Arial"/>
          <w:i/>
          <w:lang w:val="es-ES"/>
        </w:rPr>
        <w:t xml:space="preserve"> </w:t>
      </w:r>
      <w:r w:rsidRPr="00094E9A">
        <w:rPr>
          <w:rFonts w:eastAsia="Arial"/>
          <w:b/>
          <w:i/>
          <w:u w:val="single" w:color="000000"/>
          <w:lang w:val="es-ES"/>
        </w:rPr>
        <w:t>que acredite el pago</w:t>
      </w:r>
      <w:r w:rsidRPr="00094E9A">
        <w:rPr>
          <w:rFonts w:eastAsia="Arial"/>
          <w:b/>
          <w:i/>
          <w:lang w:val="es-ES"/>
        </w:rPr>
        <w:t xml:space="preserve"> </w:t>
      </w:r>
      <w:r w:rsidRPr="00094E9A">
        <w:rPr>
          <w:rFonts w:eastAsia="Arial"/>
          <w:b/>
          <w:i/>
          <w:u w:val="single" w:color="000000"/>
          <w:lang w:val="es-ES"/>
        </w:rPr>
        <w:t>de la obligación demandada y las costas, el juez declarará terminado el proceso</w:t>
      </w:r>
      <w:r w:rsidRPr="00094E9A">
        <w:rPr>
          <w:rFonts w:eastAsia="Arial"/>
          <w:i/>
          <w:lang w:val="es-ES"/>
        </w:rPr>
        <w:t xml:space="preserve"> y dispondrá la cancelación de los embargos y secuestros, si no estuviere embargado el remanente…” </w:t>
      </w:r>
    </w:p>
    <w:p w:rsidR="009D41D7" w:rsidRPr="00094E9A" w:rsidRDefault="009D41D7" w:rsidP="009D41D7">
      <w:pPr>
        <w:rPr>
          <w:lang w:val="es-ES"/>
        </w:rPr>
      </w:pPr>
      <w:r w:rsidRPr="00094E9A">
        <w:rPr>
          <w:rFonts w:eastAsia="Arial"/>
          <w:i/>
          <w:lang w:val="es-ES"/>
        </w:rPr>
        <w:t xml:space="preserve"> </w:t>
      </w:r>
    </w:p>
    <w:p w:rsidR="009D41D7" w:rsidRPr="00094E9A" w:rsidRDefault="009D41D7" w:rsidP="009D41D7">
      <w:pPr>
        <w:spacing w:after="5" w:line="360" w:lineRule="auto"/>
        <w:ind w:left="-5" w:right="46" w:hanging="10"/>
        <w:jc w:val="both"/>
        <w:rPr>
          <w:lang w:val="es-ES"/>
        </w:rPr>
      </w:pPr>
      <w:r w:rsidRPr="00094E9A">
        <w:rPr>
          <w:rFonts w:eastAsia="Arial"/>
          <w:lang w:val="es-ES"/>
        </w:rPr>
        <w:t xml:space="preserve">En el caso objeto de estudio, nos encontramos frente a un proceso ejecutivo con auto de seguir adelante la ejecución, y, se ha presentado solicitud de terminación de este por pago total de la obligación por el endosatario en </w:t>
      </w:r>
      <w:r w:rsidRPr="00094E9A">
        <w:rPr>
          <w:rFonts w:eastAsia="Arial"/>
          <w:lang w:val="es-ES"/>
        </w:rPr>
        <w:t>procuración</w:t>
      </w:r>
      <w:r w:rsidRPr="00094E9A">
        <w:rPr>
          <w:rFonts w:eastAsia="Arial"/>
          <w:lang w:val="es-ES"/>
        </w:rPr>
        <w:t xml:space="preserve"> , abogado </w:t>
      </w:r>
      <w:r w:rsidRPr="00094E9A">
        <w:rPr>
          <w:rFonts w:eastAsia="Arial"/>
          <w:b/>
          <w:lang w:val="es-ES"/>
        </w:rPr>
        <w:t>ANDRES DARIO BENITES CASTILLO –BENITEZ ABOGADOS SAS</w:t>
      </w:r>
      <w:r w:rsidRPr="00094E9A">
        <w:rPr>
          <w:rFonts w:eastAsia="Arial"/>
          <w:b/>
          <w:lang w:val="es-ES"/>
        </w:rPr>
        <w:t xml:space="preserve">, </w:t>
      </w:r>
      <w:r w:rsidRPr="00094E9A">
        <w:rPr>
          <w:rFonts w:eastAsia="Arial"/>
          <w:lang w:val="es-ES"/>
        </w:rPr>
        <w:t xml:space="preserve"> con facultad para recibir, según el artículo 658 del Código de Comercio </w:t>
      </w:r>
      <w:r w:rsidRPr="00094E9A">
        <w:rPr>
          <w:rStyle w:val="Refdenotaalpie"/>
          <w:rFonts w:eastAsia="Arial"/>
        </w:rPr>
        <w:footnoteReference w:id="1"/>
      </w:r>
      <w:r w:rsidRPr="00094E9A">
        <w:rPr>
          <w:rFonts w:eastAsia="Arial"/>
          <w:lang w:val="es-ES"/>
        </w:rPr>
        <w:t xml:space="preserve">, y la </w:t>
      </w:r>
      <w:r w:rsidRPr="00094E9A">
        <w:rPr>
          <w:rFonts w:eastAsia="Arial"/>
          <w:lang w:val="es-ES"/>
        </w:rPr>
        <w:lastRenderedPageBreak/>
        <w:t>doctrina</w:t>
      </w:r>
      <w:r w:rsidRPr="00094E9A">
        <w:rPr>
          <w:rStyle w:val="Refdenotaalpie"/>
          <w:rFonts w:eastAsia="Arial"/>
        </w:rPr>
        <w:footnoteReference w:id="2"/>
      </w:r>
      <w:r w:rsidRPr="00094E9A">
        <w:rPr>
          <w:rFonts w:eastAsia="Arial"/>
          <w:lang w:val="es-ES"/>
        </w:rPr>
        <w:t xml:space="preserve">(f.34), razón por la cual advierte el Despacho, que se encuentran dados los presupuestos del artículo 461 del CGP.  </w:t>
      </w:r>
      <w:r w:rsidRPr="00094E9A">
        <w:rPr>
          <w:strike/>
          <w:lang w:val="es-ES"/>
        </w:rPr>
        <w:t xml:space="preserve">                                                   </w:t>
      </w:r>
    </w:p>
    <w:p w:rsidR="009D41D7" w:rsidRPr="00094E9A" w:rsidRDefault="009D41D7" w:rsidP="009D41D7">
      <w:pPr>
        <w:ind w:left="10" w:right="68" w:hanging="10"/>
        <w:jc w:val="center"/>
        <w:rPr>
          <w:rFonts w:eastAsia="Arial"/>
          <w:b/>
          <w:lang w:val="es-ES"/>
        </w:rPr>
      </w:pPr>
    </w:p>
    <w:p w:rsidR="009D41D7" w:rsidRPr="00094E9A" w:rsidRDefault="009D41D7" w:rsidP="009D41D7">
      <w:pPr>
        <w:ind w:left="10" w:right="68" w:hanging="10"/>
        <w:jc w:val="center"/>
        <w:rPr>
          <w:rFonts w:eastAsia="Arial"/>
          <w:b/>
          <w:lang w:val="es-ES"/>
        </w:rPr>
      </w:pPr>
    </w:p>
    <w:p w:rsidR="009D41D7" w:rsidRPr="00094E9A" w:rsidRDefault="009D41D7" w:rsidP="009D41D7">
      <w:pPr>
        <w:ind w:left="10" w:right="68" w:hanging="10"/>
        <w:jc w:val="center"/>
        <w:rPr>
          <w:rFonts w:eastAsia="Arial"/>
          <w:lang w:val="es-ES"/>
        </w:rPr>
      </w:pPr>
      <w:r w:rsidRPr="00094E9A">
        <w:rPr>
          <w:rFonts w:eastAsia="Arial"/>
          <w:b/>
          <w:lang w:val="es-ES"/>
        </w:rPr>
        <w:t>RESUELVE:</w:t>
      </w:r>
      <w:r w:rsidRPr="00094E9A">
        <w:rPr>
          <w:rFonts w:eastAsia="Arial"/>
          <w:lang w:val="es-ES"/>
        </w:rPr>
        <w:t xml:space="preserve"> </w:t>
      </w:r>
    </w:p>
    <w:p w:rsidR="009D41D7" w:rsidRPr="00094E9A" w:rsidRDefault="009D41D7" w:rsidP="009D41D7">
      <w:pPr>
        <w:ind w:left="10" w:right="68" w:hanging="10"/>
        <w:jc w:val="center"/>
        <w:rPr>
          <w:lang w:val="es-ES"/>
        </w:rPr>
      </w:pPr>
    </w:p>
    <w:p w:rsidR="009D41D7" w:rsidRPr="00094E9A" w:rsidRDefault="009D41D7" w:rsidP="009D41D7">
      <w:pPr>
        <w:jc w:val="center"/>
        <w:rPr>
          <w:lang w:val="es-ES"/>
        </w:rPr>
      </w:pPr>
      <w:r w:rsidRPr="00094E9A">
        <w:rPr>
          <w:rFonts w:eastAsia="Arial"/>
          <w:lang w:val="es-ES"/>
        </w:rPr>
        <w:t xml:space="preserve"> </w:t>
      </w:r>
    </w:p>
    <w:p w:rsidR="009D41D7" w:rsidRPr="00094E9A" w:rsidRDefault="009D41D7" w:rsidP="009D41D7">
      <w:pPr>
        <w:spacing w:after="5" w:line="360" w:lineRule="auto"/>
        <w:ind w:left="-5" w:right="46" w:hanging="10"/>
        <w:jc w:val="both"/>
        <w:rPr>
          <w:lang w:val="es-ES"/>
        </w:rPr>
      </w:pPr>
      <w:r w:rsidRPr="00094E9A">
        <w:rPr>
          <w:rFonts w:eastAsia="Arial"/>
          <w:b/>
          <w:lang w:val="es-ES"/>
        </w:rPr>
        <w:t>PRIMERO: ADMITIR</w:t>
      </w:r>
      <w:r w:rsidRPr="00094E9A">
        <w:rPr>
          <w:rFonts w:eastAsia="Arial"/>
          <w:lang w:val="es-ES"/>
        </w:rPr>
        <w:t xml:space="preserve"> la solicitud de terminación, presentada por el abogado </w:t>
      </w:r>
      <w:r w:rsidR="0057429D" w:rsidRPr="00094E9A">
        <w:rPr>
          <w:rFonts w:eastAsia="Arial"/>
          <w:b/>
          <w:lang w:val="es-ES"/>
        </w:rPr>
        <w:t>ANDRES DARIO BENITES CASTILLO –BENITEZ ABOGADOS SAS</w:t>
      </w:r>
      <w:r w:rsidRPr="00094E9A">
        <w:rPr>
          <w:rFonts w:eastAsia="Arial"/>
          <w:b/>
          <w:lang w:val="es-ES"/>
        </w:rPr>
        <w:t xml:space="preserve">, </w:t>
      </w:r>
      <w:r w:rsidRPr="00094E9A">
        <w:rPr>
          <w:rFonts w:eastAsia="Arial"/>
          <w:lang w:val="es-ES"/>
        </w:rPr>
        <w:t xml:space="preserve">endosatario en </w:t>
      </w:r>
      <w:proofErr w:type="gramStart"/>
      <w:r w:rsidR="0057429D" w:rsidRPr="00094E9A">
        <w:rPr>
          <w:rFonts w:eastAsia="Arial"/>
          <w:lang w:val="es-ES"/>
        </w:rPr>
        <w:t>procuración</w:t>
      </w:r>
      <w:r w:rsidRPr="00094E9A">
        <w:rPr>
          <w:rFonts w:eastAsia="Arial"/>
          <w:lang w:val="es-ES"/>
        </w:rPr>
        <w:t>,  con</w:t>
      </w:r>
      <w:proofErr w:type="gramEnd"/>
      <w:r w:rsidRPr="00094E9A">
        <w:rPr>
          <w:rFonts w:eastAsia="Arial"/>
          <w:lang w:val="es-ES"/>
        </w:rPr>
        <w:t xml:space="preserve"> facultad para recibir, según lo expuesto en la parte motiva de esta providencia.   </w:t>
      </w:r>
    </w:p>
    <w:p w:rsidR="009D41D7" w:rsidRPr="00094E9A" w:rsidRDefault="009D41D7" w:rsidP="009D41D7">
      <w:pPr>
        <w:spacing w:line="360" w:lineRule="auto"/>
        <w:rPr>
          <w:rFonts w:eastAsia="Arial"/>
          <w:lang w:val="es-ES"/>
        </w:rPr>
      </w:pPr>
      <w:r w:rsidRPr="00094E9A">
        <w:rPr>
          <w:rFonts w:eastAsia="Arial"/>
          <w:lang w:val="es-ES"/>
        </w:rPr>
        <w:t xml:space="preserve"> </w:t>
      </w:r>
    </w:p>
    <w:p w:rsidR="009D41D7" w:rsidRPr="00094E9A" w:rsidRDefault="009D41D7" w:rsidP="009D41D7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94E9A">
        <w:rPr>
          <w:rStyle w:val="InitialStyle"/>
          <w:rFonts w:cs="Times New Roman"/>
          <w:b/>
          <w:sz w:val="20"/>
          <w:szCs w:val="20"/>
          <w:lang w:val="es-ES_tradnl"/>
        </w:rPr>
        <w:t>SEGUNDO</w:t>
      </w:r>
      <w:r w:rsidRPr="00094E9A">
        <w:rPr>
          <w:rStyle w:val="InitialStyle"/>
          <w:rFonts w:cs="Times New Roman"/>
          <w:sz w:val="20"/>
          <w:szCs w:val="20"/>
          <w:lang w:val="es-ES_tradnl"/>
        </w:rPr>
        <w:t xml:space="preserve">: Decretar la Terminación del Proceso Ejecutivo radicado bajo </w:t>
      </w:r>
      <w:proofErr w:type="gramStart"/>
      <w:r w:rsidRPr="00094E9A">
        <w:rPr>
          <w:rStyle w:val="InitialStyle"/>
          <w:rFonts w:cs="Times New Roman"/>
          <w:sz w:val="20"/>
          <w:szCs w:val="20"/>
          <w:lang w:val="es-ES_tradnl"/>
        </w:rPr>
        <w:t>el  número</w:t>
      </w:r>
      <w:proofErr w:type="gramEnd"/>
      <w:r w:rsidRPr="00094E9A">
        <w:rPr>
          <w:rStyle w:val="InitialStyle"/>
          <w:rFonts w:cs="Times New Roman"/>
          <w:sz w:val="20"/>
          <w:szCs w:val="20"/>
          <w:lang w:val="es-ES_tradnl"/>
        </w:rPr>
        <w:t xml:space="preserve"> 202</w:t>
      </w:r>
      <w:r w:rsidR="0057429D" w:rsidRPr="00094E9A">
        <w:rPr>
          <w:rStyle w:val="InitialStyle"/>
          <w:rFonts w:cs="Times New Roman"/>
          <w:sz w:val="20"/>
          <w:szCs w:val="20"/>
          <w:lang w:val="es-ES_tradnl"/>
        </w:rPr>
        <w:t>1</w:t>
      </w:r>
      <w:r w:rsidRPr="00094E9A">
        <w:rPr>
          <w:rStyle w:val="InitialStyle"/>
          <w:rFonts w:cs="Times New Roman"/>
          <w:sz w:val="20"/>
          <w:szCs w:val="20"/>
          <w:lang w:val="es-ES_tradnl"/>
        </w:rPr>
        <w:t xml:space="preserve">- 013 seguido por </w:t>
      </w:r>
      <w:r w:rsidR="0057429D" w:rsidRPr="00094E9A">
        <w:rPr>
          <w:rFonts w:ascii="Times New Roman" w:hAnsi="Times New Roman" w:cs="Times New Roman"/>
          <w:b/>
          <w:color w:val="auto"/>
          <w:sz w:val="20"/>
          <w:szCs w:val="20"/>
          <w:lang w:val="es-MX"/>
        </w:rPr>
        <w:t xml:space="preserve">BANCOLOMBIA SA </w:t>
      </w:r>
      <w:r w:rsidRPr="00094E9A">
        <w:rPr>
          <w:rFonts w:ascii="Times New Roman" w:hAnsi="Times New Roman" w:cs="Times New Roman"/>
          <w:b/>
          <w:color w:val="auto"/>
          <w:sz w:val="20"/>
          <w:szCs w:val="20"/>
          <w:lang w:val="es-MX"/>
        </w:rPr>
        <w:t xml:space="preserve">QUIEN ACTÚA POR INTERMEDIO DE ENDOSATARIO EN PROCURACIÓN en contra de </w:t>
      </w:r>
      <w:r w:rsidR="0057429D" w:rsidRPr="00094E9A">
        <w:rPr>
          <w:rFonts w:ascii="Times New Roman" w:hAnsi="Times New Roman" w:cs="Times New Roman"/>
          <w:b/>
          <w:color w:val="auto"/>
          <w:sz w:val="20"/>
          <w:szCs w:val="20"/>
          <w:lang w:val="es-MX"/>
        </w:rPr>
        <w:t>GEIVER ALEXANDER REYES CARDENAS Y BLANCA DILMA CARDENAS PINEDA</w:t>
      </w:r>
      <w:r w:rsidRPr="00094E9A">
        <w:rPr>
          <w:rFonts w:ascii="Times New Roman" w:hAnsi="Times New Roman" w:cs="Times New Roman"/>
          <w:b/>
          <w:color w:val="auto"/>
          <w:sz w:val="20"/>
          <w:szCs w:val="20"/>
          <w:lang w:val="es-MX"/>
        </w:rPr>
        <w:t>.</w:t>
      </w:r>
      <w:r w:rsidRPr="00094E9A">
        <w:rPr>
          <w:rStyle w:val="InitialStyle"/>
          <w:rFonts w:cs="Times New Roman"/>
          <w:b/>
          <w:sz w:val="20"/>
          <w:szCs w:val="20"/>
          <w:lang w:val="es-ES_tradnl"/>
        </w:rPr>
        <w:t>, por pago total de la obligación.</w:t>
      </w:r>
      <w:r w:rsidRPr="00094E9A">
        <w:rPr>
          <w:rStyle w:val="InitialStyle"/>
          <w:rFonts w:cs="Times New Roman"/>
          <w:sz w:val="20"/>
          <w:szCs w:val="20"/>
          <w:lang w:val="es-ES_tradnl"/>
        </w:rPr>
        <w:t xml:space="preserve">  </w:t>
      </w:r>
    </w:p>
    <w:p w:rsidR="009D41D7" w:rsidRPr="00094E9A" w:rsidRDefault="009D41D7" w:rsidP="009D41D7">
      <w:pPr>
        <w:spacing w:line="360" w:lineRule="auto"/>
        <w:jc w:val="both"/>
        <w:rPr>
          <w:rFonts w:eastAsia="Arial"/>
          <w:lang w:val="es-ES"/>
        </w:rPr>
      </w:pPr>
    </w:p>
    <w:p w:rsidR="009D41D7" w:rsidRPr="00094E9A" w:rsidRDefault="009D41D7" w:rsidP="009D41D7">
      <w:pPr>
        <w:spacing w:line="360" w:lineRule="auto"/>
        <w:jc w:val="both"/>
        <w:rPr>
          <w:lang w:val="es-ES"/>
        </w:rPr>
      </w:pPr>
      <w:r w:rsidRPr="00094E9A">
        <w:rPr>
          <w:rFonts w:eastAsia="Arial"/>
          <w:b/>
          <w:lang w:val="es-ES"/>
        </w:rPr>
        <w:t xml:space="preserve">TERCERO: </w:t>
      </w:r>
      <w:r w:rsidRPr="00094E9A">
        <w:rPr>
          <w:rStyle w:val="InitialStyle"/>
          <w:sz w:val="20"/>
          <w:lang w:val="es-ES_tradnl"/>
        </w:rPr>
        <w:t xml:space="preserve">Se ordena el levantamiento de las medidas cautelares decretadas. Líbrense los </w:t>
      </w:r>
      <w:r w:rsidRPr="00094E9A">
        <w:rPr>
          <w:rStyle w:val="InitialStyle"/>
          <w:b/>
          <w:sz w:val="20"/>
          <w:lang w:val="es-ES_tradnl"/>
        </w:rPr>
        <w:t>oficios</w:t>
      </w:r>
      <w:r w:rsidRPr="00094E9A">
        <w:rPr>
          <w:rStyle w:val="InitialStyle"/>
          <w:sz w:val="20"/>
          <w:lang w:val="es-ES_tradnl"/>
        </w:rPr>
        <w:t xml:space="preserve"> respectivos. En caso de existir </w:t>
      </w:r>
      <w:r w:rsidRPr="00094E9A">
        <w:rPr>
          <w:rStyle w:val="InitialStyle"/>
          <w:b/>
          <w:sz w:val="20"/>
          <w:lang w:val="es-ES_tradnl"/>
        </w:rPr>
        <w:t>remanente</w:t>
      </w:r>
      <w:r w:rsidRPr="00094E9A">
        <w:rPr>
          <w:rStyle w:val="InitialStyle"/>
          <w:sz w:val="20"/>
          <w:lang w:val="es-ES_tradnl"/>
        </w:rPr>
        <w:t xml:space="preserve"> dese aplicación a lo establecido en el artículo 466 del C. G. P.</w:t>
      </w:r>
    </w:p>
    <w:p w:rsidR="009D41D7" w:rsidRPr="00094E9A" w:rsidRDefault="009D41D7" w:rsidP="009D41D7">
      <w:pPr>
        <w:pStyle w:val="Texto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InitialStyle"/>
          <w:rFonts w:eastAsiaTheme="majorEastAsia"/>
          <w:sz w:val="20"/>
          <w:szCs w:val="20"/>
          <w:lang w:val="es-ES_tradnl"/>
        </w:rPr>
      </w:pPr>
    </w:p>
    <w:p w:rsidR="009D41D7" w:rsidRPr="00094E9A" w:rsidRDefault="009D41D7" w:rsidP="009D41D7">
      <w:pPr>
        <w:pStyle w:val="Texto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InitialStyle"/>
          <w:rFonts w:eastAsiaTheme="majorEastAsia"/>
          <w:sz w:val="20"/>
          <w:szCs w:val="20"/>
          <w:lang w:val="es-ES_tradnl"/>
        </w:rPr>
      </w:pPr>
      <w:r w:rsidRPr="00094E9A">
        <w:rPr>
          <w:rStyle w:val="InitialStyle"/>
          <w:rFonts w:eastAsiaTheme="majorEastAsia"/>
          <w:b/>
          <w:sz w:val="20"/>
          <w:szCs w:val="20"/>
          <w:lang w:val="es-ES_tradnl"/>
        </w:rPr>
        <w:t>CUARTO:</w:t>
      </w:r>
      <w:r w:rsidRPr="00094E9A">
        <w:rPr>
          <w:rStyle w:val="InitialStyle"/>
          <w:rFonts w:eastAsiaTheme="majorEastAsia"/>
          <w:sz w:val="20"/>
          <w:szCs w:val="20"/>
          <w:lang w:val="es-ES_tradnl"/>
        </w:rPr>
        <w:t xml:space="preserve"> Desglósese los títulos ejecutivos objeto del proceso a favor de la parte demandada</w:t>
      </w:r>
      <w:r w:rsidRPr="00094E9A">
        <w:rPr>
          <w:rStyle w:val="InitialStyle"/>
          <w:rFonts w:eastAsiaTheme="majorEastAsia"/>
          <w:b/>
          <w:sz w:val="20"/>
          <w:szCs w:val="20"/>
          <w:lang w:val="es-ES_tradnl"/>
        </w:rPr>
        <w:t>.</w:t>
      </w:r>
    </w:p>
    <w:p w:rsidR="009D41D7" w:rsidRPr="00094E9A" w:rsidRDefault="009D41D7" w:rsidP="009D41D7">
      <w:pPr>
        <w:pStyle w:val="Texto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InitialStyle"/>
          <w:rFonts w:eastAsiaTheme="majorEastAsia"/>
          <w:sz w:val="20"/>
          <w:szCs w:val="20"/>
          <w:lang w:val="es-ES_tradnl"/>
        </w:rPr>
      </w:pPr>
    </w:p>
    <w:p w:rsidR="009D41D7" w:rsidRPr="00094E9A" w:rsidRDefault="009D41D7" w:rsidP="009D41D7">
      <w:pPr>
        <w:pStyle w:val="Texto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InitialStyle"/>
          <w:rFonts w:eastAsiaTheme="majorEastAsia"/>
          <w:sz w:val="20"/>
          <w:szCs w:val="20"/>
          <w:lang w:val="es-ES_tradnl"/>
        </w:rPr>
      </w:pPr>
      <w:r w:rsidRPr="00094E9A">
        <w:rPr>
          <w:rStyle w:val="InitialStyle"/>
          <w:rFonts w:eastAsiaTheme="majorEastAsia"/>
          <w:b/>
          <w:sz w:val="20"/>
          <w:szCs w:val="20"/>
          <w:lang w:val="es-ES_tradnl"/>
        </w:rPr>
        <w:t xml:space="preserve">QUINTO: </w:t>
      </w:r>
      <w:r w:rsidRPr="00094E9A">
        <w:rPr>
          <w:rStyle w:val="InitialStyle"/>
          <w:rFonts w:eastAsiaTheme="majorEastAsia"/>
          <w:sz w:val="20"/>
          <w:szCs w:val="20"/>
          <w:lang w:val="es-ES_tradnl"/>
        </w:rPr>
        <w:t>Sin costas</w:t>
      </w:r>
    </w:p>
    <w:p w:rsidR="009D41D7" w:rsidRPr="00094E9A" w:rsidRDefault="009D41D7" w:rsidP="009D41D7">
      <w:pPr>
        <w:pStyle w:val="Texto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InitialStyle"/>
          <w:rFonts w:eastAsiaTheme="majorEastAsia"/>
          <w:sz w:val="20"/>
          <w:szCs w:val="20"/>
          <w:lang w:val="es-ES_tradnl"/>
        </w:rPr>
      </w:pPr>
    </w:p>
    <w:p w:rsidR="009D41D7" w:rsidRPr="00094E9A" w:rsidRDefault="009D41D7" w:rsidP="009D41D7">
      <w:pPr>
        <w:pStyle w:val="Texto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Style w:val="InitialStyle"/>
          <w:rFonts w:eastAsiaTheme="majorEastAsia"/>
          <w:sz w:val="20"/>
          <w:szCs w:val="20"/>
          <w:lang w:val="es-ES_tradnl"/>
        </w:rPr>
      </w:pPr>
      <w:r w:rsidRPr="00094E9A">
        <w:rPr>
          <w:rStyle w:val="InitialStyle"/>
          <w:rFonts w:eastAsiaTheme="majorEastAsia"/>
          <w:b/>
          <w:sz w:val="20"/>
          <w:szCs w:val="20"/>
          <w:lang w:val="es-ES_tradnl"/>
        </w:rPr>
        <w:t>SEX</w:t>
      </w:r>
      <w:bookmarkStart w:id="0" w:name="_GoBack"/>
      <w:bookmarkEnd w:id="0"/>
      <w:r w:rsidRPr="00094E9A">
        <w:rPr>
          <w:rStyle w:val="InitialStyle"/>
          <w:rFonts w:eastAsiaTheme="majorEastAsia"/>
          <w:b/>
          <w:sz w:val="20"/>
          <w:szCs w:val="20"/>
          <w:lang w:val="es-ES_tradnl"/>
        </w:rPr>
        <w:t>TO:</w:t>
      </w:r>
      <w:r w:rsidRPr="00094E9A">
        <w:rPr>
          <w:rStyle w:val="InitialStyle"/>
          <w:rFonts w:eastAsiaTheme="majorEastAsia"/>
          <w:sz w:val="20"/>
          <w:szCs w:val="20"/>
          <w:lang w:val="es-ES_tradnl"/>
        </w:rPr>
        <w:t xml:space="preserve"> Cumplido lo anterior, archívese el expediente.</w:t>
      </w:r>
    </w:p>
    <w:p w:rsidR="009D41D7" w:rsidRPr="00094E9A" w:rsidRDefault="009D41D7" w:rsidP="009D41D7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lang w:val="es-ES_tradnl"/>
        </w:rPr>
      </w:pPr>
    </w:p>
    <w:p w:rsidR="009D41D7" w:rsidRPr="00094E9A" w:rsidRDefault="009D41D7" w:rsidP="009D41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MX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9D41D7" w:rsidRPr="00094E9A" w:rsidTr="00C45B19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1D7" w:rsidRPr="00094E9A" w:rsidRDefault="009D41D7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9D41D7" w:rsidRPr="00094E9A" w:rsidRDefault="009D41D7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094E9A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9D41D7" w:rsidRPr="00094E9A" w:rsidTr="00C45B19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41D7" w:rsidRPr="00094E9A" w:rsidRDefault="009D41D7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9D41D7" w:rsidRPr="00094E9A" w:rsidRDefault="009D41D7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094E9A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9D41D7" w:rsidRPr="00094E9A" w:rsidRDefault="009D41D7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D41D7" w:rsidRPr="00094E9A" w:rsidRDefault="009D41D7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094E9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094E9A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094E9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094E9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094E9A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9D41D7" w:rsidRPr="00094E9A" w:rsidRDefault="009D41D7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D41D7" w:rsidRPr="00094E9A" w:rsidRDefault="009D41D7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9D41D7" w:rsidRPr="00094E9A" w:rsidRDefault="009D41D7" w:rsidP="00C45B19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094E9A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9D41D7" w:rsidRPr="00094E9A" w:rsidRDefault="009D41D7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094E9A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9D41D7" w:rsidRPr="00094E9A" w:rsidRDefault="009D41D7" w:rsidP="009D41D7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094E9A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9D41D7" w:rsidRPr="00094E9A" w:rsidRDefault="009D41D7" w:rsidP="009D41D7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9D41D7" w:rsidRPr="00094E9A" w:rsidRDefault="009D41D7" w:rsidP="009D41D7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9D41D7" w:rsidRPr="00094E9A" w:rsidRDefault="009D41D7" w:rsidP="009D41D7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9D41D7" w:rsidRPr="00094E9A" w:rsidRDefault="009D41D7" w:rsidP="009D41D7">
      <w:pPr>
        <w:spacing w:line="360" w:lineRule="auto"/>
        <w:rPr>
          <w:rFonts w:eastAsia="Arial Unicode MS"/>
          <w:b/>
          <w:color w:val="auto"/>
          <w:lang w:val="es-MX"/>
        </w:rPr>
      </w:pPr>
      <w:r w:rsidRPr="00094E9A">
        <w:rPr>
          <w:rFonts w:eastAsia="Arial Unicode MS"/>
          <w:b/>
          <w:color w:val="auto"/>
          <w:lang w:val="es-MX"/>
        </w:rPr>
        <w:t>IVÁN ORLANDO FONSECA ROJAS</w:t>
      </w:r>
    </w:p>
    <w:p w:rsidR="009D41D7" w:rsidRPr="00094E9A" w:rsidRDefault="009D41D7" w:rsidP="009D41D7">
      <w:pPr>
        <w:spacing w:line="360" w:lineRule="auto"/>
        <w:jc w:val="center"/>
        <w:rPr>
          <w:color w:val="auto"/>
          <w:lang w:val="es-ES"/>
        </w:rPr>
      </w:pPr>
      <w:r w:rsidRPr="00094E9A">
        <w:rPr>
          <w:rFonts w:eastAsia="Arial Unicode MS"/>
          <w:b/>
          <w:color w:val="auto"/>
          <w:lang w:val="es-MX"/>
        </w:rPr>
        <w:t>JUEZ</w:t>
      </w:r>
    </w:p>
    <w:p w:rsidR="009D41D7" w:rsidRPr="00094E9A" w:rsidRDefault="009D41D7" w:rsidP="009D41D7">
      <w:pPr>
        <w:spacing w:line="360" w:lineRule="auto"/>
        <w:rPr>
          <w:color w:val="auto"/>
          <w:lang w:val="es-ES"/>
        </w:rPr>
      </w:pPr>
    </w:p>
    <w:p w:rsidR="009D41D7" w:rsidRPr="00094E9A" w:rsidRDefault="009D41D7" w:rsidP="009D41D7">
      <w:pPr>
        <w:spacing w:line="360" w:lineRule="auto"/>
        <w:rPr>
          <w:lang w:val="es-ES"/>
        </w:rPr>
      </w:pPr>
    </w:p>
    <w:p w:rsidR="009D41D7" w:rsidRPr="00094E9A" w:rsidRDefault="009D41D7" w:rsidP="009D41D7">
      <w:pPr>
        <w:spacing w:line="360" w:lineRule="auto"/>
      </w:pPr>
    </w:p>
    <w:p w:rsidR="009D41D7" w:rsidRPr="00094E9A" w:rsidRDefault="009D41D7" w:rsidP="009D41D7">
      <w:pPr>
        <w:spacing w:line="360" w:lineRule="auto"/>
      </w:pPr>
    </w:p>
    <w:p w:rsidR="009D41D7" w:rsidRPr="00094E9A" w:rsidRDefault="009D41D7" w:rsidP="009D41D7">
      <w:pPr>
        <w:spacing w:line="360" w:lineRule="auto"/>
      </w:pPr>
    </w:p>
    <w:p w:rsidR="009D41D7" w:rsidRPr="00094E9A" w:rsidRDefault="009D41D7" w:rsidP="009D41D7"/>
    <w:p w:rsidR="009D41D7" w:rsidRPr="00094E9A" w:rsidRDefault="009D41D7" w:rsidP="009D41D7"/>
    <w:p w:rsidR="009D41D7" w:rsidRPr="00094E9A" w:rsidRDefault="009D41D7" w:rsidP="009D41D7"/>
    <w:p w:rsidR="008E14A2" w:rsidRPr="00094E9A" w:rsidRDefault="008E14A2"/>
    <w:sectPr w:rsidR="008E14A2" w:rsidRPr="00094E9A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4F1" w:rsidRDefault="002F24F1" w:rsidP="009D41D7">
      <w:r>
        <w:separator/>
      </w:r>
    </w:p>
  </w:endnote>
  <w:endnote w:type="continuationSeparator" w:id="0">
    <w:p w:rsidR="002F24F1" w:rsidRDefault="002F24F1" w:rsidP="009D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4F1" w:rsidRDefault="002F24F1" w:rsidP="009D41D7">
      <w:r>
        <w:separator/>
      </w:r>
    </w:p>
  </w:footnote>
  <w:footnote w:type="continuationSeparator" w:id="0">
    <w:p w:rsidR="002F24F1" w:rsidRDefault="002F24F1" w:rsidP="009D41D7">
      <w:r>
        <w:continuationSeparator/>
      </w:r>
    </w:p>
  </w:footnote>
  <w:footnote w:id="1">
    <w:p w:rsidR="009D41D7" w:rsidRPr="006176FB" w:rsidRDefault="009D41D7" w:rsidP="009D41D7">
      <w:pPr>
        <w:spacing w:after="6" w:line="239" w:lineRule="auto"/>
        <w:ind w:left="10" w:right="46"/>
        <w:jc w:val="both"/>
        <w:rPr>
          <w:rFonts w:ascii="Bookman Old Style" w:hAnsi="Bookman Old Style"/>
          <w:b/>
          <w:lang w:val="es-ES"/>
        </w:rPr>
      </w:pPr>
      <w:r w:rsidRPr="000A3336">
        <w:rPr>
          <w:rStyle w:val="Refdenotaalpie"/>
          <w:rFonts w:ascii="Bookman Old Style" w:eastAsia="Calibri" w:hAnsi="Bookman Old Style"/>
          <w:b/>
        </w:rPr>
        <w:footnoteRef/>
      </w:r>
      <w:r w:rsidRPr="006176FB">
        <w:rPr>
          <w:rFonts w:ascii="Bookman Old Style" w:hAnsi="Bookman Old Style"/>
          <w:b/>
          <w:lang w:val="es-ES"/>
        </w:rPr>
        <w:t xml:space="preserve"> </w:t>
      </w:r>
      <w:r w:rsidRPr="006176FB">
        <w:rPr>
          <w:rFonts w:ascii="Bookman Old Style" w:eastAsia="Arial" w:hAnsi="Bookman Old Style" w:cs="Arial"/>
          <w:b/>
          <w:lang w:val="es-ES"/>
        </w:rPr>
        <w:t xml:space="preserve">El endoso que contenga la cláusula "en procuración", "al cobro" u otra equivalente, no transfiere la propiedad; pero faculta al endosatario para presentar el documento a la aceptación, para cobrarlo judicial o extrajudicialmente, para endosarlo en procuración y para protestarlo. El endosatario tendrá los derechos y obligaciones {de un representante}, incluso los que requieren cláusula especial, salvo el de transferencia del dominio. La representación contenida en el endoso no termina con la muerte o incapacidad del endosante, pero éste puede revocarla. </w:t>
      </w:r>
    </w:p>
    <w:p w:rsidR="009D41D7" w:rsidRPr="006176FB" w:rsidRDefault="009D41D7" w:rsidP="009D41D7">
      <w:pPr>
        <w:rPr>
          <w:rFonts w:ascii="Bookman Old Style" w:hAnsi="Bookman Old Style"/>
          <w:lang w:val="es-ES"/>
        </w:rPr>
      </w:pPr>
      <w:r w:rsidRPr="006176FB">
        <w:rPr>
          <w:rFonts w:ascii="Bookman Old Style" w:hAnsi="Bookman Old Style"/>
          <w:i/>
          <w:lang w:val="es-ES"/>
        </w:rPr>
        <w:t xml:space="preserve"> </w:t>
      </w:r>
    </w:p>
    <w:p w:rsidR="009D41D7" w:rsidRPr="00273921" w:rsidRDefault="009D41D7" w:rsidP="009D41D7">
      <w:pPr>
        <w:pStyle w:val="Textonotapie"/>
        <w:jc w:val="both"/>
        <w:rPr>
          <w:rFonts w:ascii="Bookman Old Style" w:hAnsi="Bookman Old Style"/>
          <w:b/>
        </w:rPr>
      </w:pPr>
    </w:p>
  </w:footnote>
  <w:footnote w:id="2">
    <w:p w:rsidR="009D41D7" w:rsidRPr="009D41D7" w:rsidRDefault="009D41D7" w:rsidP="009D41D7">
      <w:pPr>
        <w:jc w:val="both"/>
        <w:rPr>
          <w:rFonts w:ascii="Bookman Old Style" w:hAnsi="Bookman Old Style"/>
          <w:b/>
          <w:lang w:val="es-ES"/>
        </w:rPr>
      </w:pPr>
      <w:r w:rsidRPr="00273921">
        <w:rPr>
          <w:rStyle w:val="Refdenotaalpie"/>
          <w:rFonts w:ascii="Bookman Old Style" w:eastAsia="Calibri" w:hAnsi="Bookman Old Style"/>
          <w:b/>
        </w:rPr>
        <w:footnoteRef/>
      </w:r>
      <w:r w:rsidRPr="006176FB">
        <w:rPr>
          <w:rFonts w:ascii="Bookman Old Style" w:hAnsi="Bookman Old Style"/>
          <w:b/>
          <w:lang w:val="es-ES"/>
        </w:rPr>
        <w:t xml:space="preserve"> </w:t>
      </w:r>
      <w:r w:rsidRPr="006176FB">
        <w:rPr>
          <w:rFonts w:ascii="Bookman Old Style" w:eastAsia="Arial" w:hAnsi="Bookman Old Style" w:cs="Arial"/>
          <w:b/>
          <w:lang w:val="es-ES"/>
        </w:rPr>
        <w:t xml:space="preserve">Dicho endoso va más allá del poder. Mientras que es este resulta necesario otorgar facultades especiales, como las de recibir, transigir, conciliar, sustituir, y desistir, en el endoso en procuración esas facultades se entienden ínsitas. </w:t>
      </w:r>
      <w:r w:rsidRPr="009D41D7">
        <w:rPr>
          <w:rFonts w:ascii="Bookman Old Style" w:eastAsia="Arial" w:hAnsi="Bookman Old Style" w:cs="Arial"/>
          <w:b/>
          <w:lang w:val="es-ES"/>
        </w:rPr>
        <w:t xml:space="preserve">Libro Derecho Comercial de los títulos valores, Henry Becerra León, Séptima Edición, pág. 266.  </w:t>
      </w:r>
    </w:p>
    <w:p w:rsidR="009D41D7" w:rsidRDefault="009D41D7" w:rsidP="009D41D7">
      <w:pPr>
        <w:pStyle w:val="Textonotapi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D7"/>
    <w:rsid w:val="00094E9A"/>
    <w:rsid w:val="002F24F1"/>
    <w:rsid w:val="0057429D"/>
    <w:rsid w:val="008E14A2"/>
    <w:rsid w:val="009D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873AA"/>
  <w15:chartTrackingRefBased/>
  <w15:docId w15:val="{E708A80F-3AC4-45A6-8262-9D5E9E1B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1D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9D41D7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41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D41D7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41D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D41D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41D7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9D41D7"/>
  </w:style>
  <w:style w:type="paragraph" w:customStyle="1" w:styleId="307">
    <w:name w:val="307"/>
    <w:basedOn w:val="Normal"/>
    <w:rsid w:val="009D41D7"/>
  </w:style>
  <w:style w:type="paragraph" w:customStyle="1" w:styleId="302">
    <w:name w:val="302"/>
    <w:basedOn w:val="Normal"/>
    <w:rsid w:val="009D41D7"/>
  </w:style>
  <w:style w:type="table" w:styleId="Tablaconcuadrcula">
    <w:name w:val="Table Grid"/>
    <w:basedOn w:val="Tablanormal"/>
    <w:uiPriority w:val="39"/>
    <w:rsid w:val="009D4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predeterminado">
    <w:name w:val="Texto predeterminado"/>
    <w:basedOn w:val="Normal"/>
    <w:rsid w:val="009D41D7"/>
    <w:pPr>
      <w:overflowPunct/>
    </w:pPr>
    <w:rPr>
      <w:color w:val="auto"/>
      <w:sz w:val="24"/>
      <w:szCs w:val="24"/>
      <w:lang w:val="es-MX" w:eastAsia="es-MX"/>
    </w:rPr>
  </w:style>
  <w:style w:type="character" w:customStyle="1" w:styleId="InitialStyle">
    <w:name w:val="InitialStyle"/>
    <w:rsid w:val="009D41D7"/>
    <w:rPr>
      <w:rFonts w:ascii="Times New Roman" w:hAnsi="Times New Roman"/>
      <w:color w:val="000000"/>
      <w:spacing w:val="0"/>
      <w:sz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D41D7"/>
    <w:pPr>
      <w:overflowPunct/>
      <w:autoSpaceDE/>
      <w:autoSpaceDN/>
      <w:adjustRightInd/>
    </w:pPr>
    <w:rPr>
      <w:rFonts w:ascii="Calibri" w:eastAsia="Calibri" w:hAnsi="Calibri" w:cs="Calibri"/>
      <w:lang w:val="es-CO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D41D7"/>
    <w:rPr>
      <w:rFonts w:ascii="Calibri" w:eastAsia="Calibri" w:hAnsi="Calibri" w:cs="Calibri"/>
      <w:color w:val="000000"/>
      <w:sz w:val="20"/>
      <w:szCs w:val="20"/>
      <w:lang w:val="es-CO" w:eastAsia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9D41D7"/>
    <w:rPr>
      <w:vertAlign w:val="superscript"/>
    </w:rPr>
  </w:style>
  <w:style w:type="paragraph" w:customStyle="1" w:styleId="Default">
    <w:name w:val="Default"/>
    <w:rsid w:val="009D41D7"/>
    <w:pPr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Book Antiqua"/>
      <w:color w:val="000000"/>
      <w:sz w:val="24"/>
      <w:szCs w:val="24"/>
      <w:lang w:val="es-E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2</cp:revision>
  <dcterms:created xsi:type="dcterms:W3CDTF">2023-02-28T14:00:00Z</dcterms:created>
  <dcterms:modified xsi:type="dcterms:W3CDTF">2023-02-28T14:14:00Z</dcterms:modified>
</cp:coreProperties>
</file>